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2CD" w:rsidRDefault="008A42CD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2411"/>
        <w:rPr>
          <w:sz w:val="24"/>
          <w:szCs w:val="24"/>
        </w:rPr>
      </w:pPr>
    </w:p>
    <w:p w:rsidR="008A42CD" w:rsidRDefault="008A75E8">
      <w:pPr>
        <w:tabs>
          <w:tab w:val="left" w:pos="8659"/>
          <w:tab w:val="left" w:pos="9792"/>
        </w:tabs>
        <w:spacing w:before="104" w:after="0" w:line="276" w:lineRule="exact"/>
        <w:ind w:left="2411"/>
      </w:pPr>
      <w:r>
        <w:rPr>
          <w:rFonts w:ascii="Arial" w:hAnsi="Arial" w:cs="Arial"/>
          <w:color w:val="000000"/>
          <w:sz w:val="24"/>
          <w:szCs w:val="24"/>
        </w:rPr>
        <w:t xml:space="preserve">D/Dª……………………………………………………..,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con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DNI</w:t>
      </w:r>
    </w:p>
    <w:p w:rsidR="008A42CD" w:rsidRDefault="008A75E8">
      <w:pPr>
        <w:spacing w:before="5" w:after="0" w:line="275" w:lineRule="exact"/>
        <w:ind w:left="1703" w:right="1510"/>
        <w:jc w:val="both"/>
      </w:pPr>
      <w:r>
        <w:rPr>
          <w:rFonts w:ascii="Arial" w:hAnsi="Arial" w:cs="Arial"/>
          <w:color w:val="000000"/>
          <w:w w:val="105"/>
          <w:sz w:val="24"/>
          <w:szCs w:val="24"/>
        </w:rPr>
        <w:t xml:space="preserve">nº……………………………..,   actuando   en   nombre   y   representación 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de………….. (si es a título personal no hace falta poner nada, si es en nombre </w:t>
      </w:r>
      <w: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de  una  asociación  hay  que  ponerla  acompañando  el  NIF),  con  domicilio  en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…………………..,  en  la   C/……………………………………………  ante  el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>Ayuntamiento de ……………………………………………..</w:t>
      </w:r>
      <w:r>
        <w:rPr>
          <w:rFonts w:ascii="Arial" w:hAnsi="Arial" w:cs="Arial"/>
          <w:color w:val="000000"/>
          <w:sz w:val="24"/>
          <w:szCs w:val="24"/>
        </w:rPr>
        <w:t>comparece y</w:t>
      </w:r>
    </w:p>
    <w:p w:rsidR="008A42CD" w:rsidRDefault="008A42CD">
      <w:pPr>
        <w:spacing w:after="0" w:line="276" w:lineRule="exact"/>
        <w:ind w:left="2478"/>
        <w:rPr>
          <w:sz w:val="24"/>
          <w:szCs w:val="24"/>
        </w:rPr>
      </w:pPr>
    </w:p>
    <w:p w:rsidR="008A42CD" w:rsidRDefault="008A75E8">
      <w:pPr>
        <w:spacing w:before="9" w:after="0" w:line="276" w:lineRule="exact"/>
        <w:ind w:left="2478"/>
      </w:pPr>
      <w:r>
        <w:rPr>
          <w:rFonts w:ascii="Arial Bold" w:hAnsi="Arial Bold" w:cs="Arial Bold"/>
          <w:color w:val="000000"/>
          <w:sz w:val="24"/>
          <w:szCs w:val="24"/>
        </w:rPr>
        <w:t>D I C E:</w:t>
      </w:r>
    </w:p>
    <w:p w:rsidR="008A42CD" w:rsidRDefault="008A42CD">
      <w:pPr>
        <w:spacing w:after="0" w:line="274" w:lineRule="exact"/>
        <w:ind w:left="2712"/>
        <w:rPr>
          <w:sz w:val="24"/>
          <w:szCs w:val="24"/>
        </w:rPr>
      </w:pPr>
    </w:p>
    <w:p w:rsidR="008A42CD" w:rsidRDefault="008A75E8">
      <w:pPr>
        <w:spacing w:before="12" w:after="0" w:line="274" w:lineRule="exact"/>
        <w:ind w:left="2712" w:right="1506" w:firstLine="585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Que por medio del presente escrito pone en conocimiento del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>A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yuntamiento   de 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………………………………………que   en   el </w:t>
      </w:r>
      <w:r>
        <w:br/>
      </w:r>
      <w:proofErr w:type="spellStart"/>
      <w:r>
        <w:rPr>
          <w:rFonts w:ascii="Arial" w:hAnsi="Arial" w:cs="Arial"/>
          <w:color w:val="000000"/>
          <w:w w:val="101"/>
          <w:sz w:val="24"/>
          <w:szCs w:val="24"/>
        </w:rPr>
        <w:t>nomenclator</w:t>
      </w:r>
      <w:proofErr w:type="spellEnd"/>
      <w:r>
        <w:rPr>
          <w:rFonts w:ascii="Arial" w:hAnsi="Arial" w:cs="Arial"/>
          <w:color w:val="000000"/>
          <w:w w:val="101"/>
          <w:sz w:val="24"/>
          <w:szCs w:val="24"/>
        </w:rPr>
        <w:t xml:space="preserve"> de las calles, vías o lugares públicos de este municipio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permanecen  vestigios  que  rinden  homenaje  a  hechos,  militares  o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políticos  afectos  al  golpe  de  estado  o  al  régimen  franquista  que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conforme a la legislación y los principios que la informan es necesario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remover y sustituir por otros más acordes a un régimen democrático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lo que insta de conformidad a las sigui</w:t>
      </w:r>
      <w:r>
        <w:rPr>
          <w:rFonts w:ascii="Arial" w:hAnsi="Arial" w:cs="Arial"/>
          <w:color w:val="000000"/>
          <w:sz w:val="24"/>
          <w:szCs w:val="24"/>
        </w:rPr>
        <w:t>entes consideraciones:</w:t>
      </w:r>
    </w:p>
    <w:p w:rsidR="008A42CD" w:rsidRDefault="008A42CD">
      <w:pPr>
        <w:spacing w:after="0" w:line="276" w:lineRule="exact"/>
        <w:ind w:left="2423"/>
        <w:rPr>
          <w:sz w:val="24"/>
          <w:szCs w:val="24"/>
        </w:rPr>
      </w:pPr>
    </w:p>
    <w:p w:rsidR="008A42CD" w:rsidRDefault="008A75E8">
      <w:pPr>
        <w:spacing w:before="9" w:after="0" w:line="276" w:lineRule="exact"/>
        <w:ind w:left="2423" w:right="1510"/>
        <w:jc w:val="both"/>
      </w:pPr>
      <w:r>
        <w:rPr>
          <w:rFonts w:ascii="Arial Bold" w:hAnsi="Arial Bold" w:cs="Arial Bold"/>
          <w:color w:val="000000"/>
          <w:w w:val="103"/>
          <w:sz w:val="24"/>
          <w:szCs w:val="24"/>
        </w:rPr>
        <w:t xml:space="preserve">PRIMERA.-   REGIMEN   LEGAL   DE   LAS   MANIFESTACIONES </w:t>
      </w:r>
      <w:r>
        <w:br/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CONTRARIAS A LA MEMORIA DEMOCRATICA EN LA NORMATIVA </w:t>
      </w:r>
      <w:r>
        <w:br/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Y, ESPECIFICAMENTE, LAS DENOMINACIONES DE CALLES, VÍAS </w:t>
      </w:r>
      <w:r>
        <w:br/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O LUGARES PÚBLICOS QUE RINDAN HOMENAJE A MILITARES O </w:t>
      </w:r>
      <w:r>
        <w:br/>
      </w:r>
      <w:r>
        <w:rPr>
          <w:rFonts w:ascii="Arial Bold" w:hAnsi="Arial Bold" w:cs="Arial Bold"/>
          <w:color w:val="000000"/>
          <w:spacing w:val="2"/>
          <w:sz w:val="24"/>
          <w:szCs w:val="24"/>
        </w:rPr>
        <w:t xml:space="preserve">POLÍTICOS  AFECTOS  AL  GOLPE  DE  ESTADO  O  AL  RÉGIMEN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>FRANQUISTA.</w:t>
      </w: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75E8">
      <w:pPr>
        <w:spacing w:before="8" w:after="0" w:line="276" w:lineRule="exact"/>
        <w:ind w:left="1703" w:right="1514" w:firstLine="65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La Ley 52/2007, de 26 de diciembre, por la que se reconocen y amplían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derechos y se establecen medidas en favor de quienes padecieron persecución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o violencia durante la guerra civil y la dictadura determina en su artículo 1.1.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que es objeto de esta Ley “reconocer y ampliar derechos a favor de quienes </w:t>
      </w:r>
      <w: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padecieron  persecución  o  violencia,  por  razones  políticas,  ideológicas,  o  de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>creencia  r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eligiosa,  durante  la  Guerra  Civil  y  la  Dictadura,  promover  su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reparación moral y la recuperación de su memoria personal y familiar, y adoptar </w:t>
      </w:r>
      <w: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medidas  complementarias  destinadas  a  suprimir  elementos  de  división  entre 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los ciudadanos, todo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ello con el fin de fomentar la cohesión y solidaridad entre </w:t>
      </w:r>
      <w: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las  diversas  generaciones  de  españoles  en  torno  a  los  principios,  valores  y </w:t>
      </w:r>
      <w: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>libertades constitucionales”.</w:t>
      </w:r>
    </w:p>
    <w:p w:rsidR="008A42CD" w:rsidRDefault="008A42CD">
      <w:pPr>
        <w:spacing w:after="0" w:line="280" w:lineRule="exact"/>
        <w:ind w:left="1703"/>
        <w:rPr>
          <w:sz w:val="24"/>
          <w:szCs w:val="24"/>
        </w:rPr>
      </w:pPr>
    </w:p>
    <w:p w:rsidR="008A42CD" w:rsidRDefault="008A75E8">
      <w:pPr>
        <w:spacing w:before="1" w:after="0" w:line="280" w:lineRule="exact"/>
        <w:ind w:left="1703" w:right="1517" w:firstLine="736"/>
        <w:jc w:val="both"/>
      </w:pPr>
      <w:r>
        <w:rPr>
          <w:rFonts w:ascii="Arial" w:hAnsi="Arial" w:cs="Arial"/>
          <w:color w:val="000000"/>
          <w:spacing w:val="-2"/>
          <w:sz w:val="24"/>
          <w:szCs w:val="24"/>
        </w:rPr>
        <w:t>Entre  las  diversas  medidas  recogidas  en  la  Ley,  el  artículo  15  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obre </w:t>
      </w:r>
      <w:r>
        <w:rPr>
          <w:rFonts w:ascii="Arial" w:hAnsi="Arial" w:cs="Arial"/>
          <w:color w:val="000000"/>
          <w:spacing w:val="-3"/>
          <w:sz w:val="24"/>
          <w:szCs w:val="24"/>
        </w:rPr>
        <w:t>símbolos y monumentos públicos dispone que:</w:t>
      </w:r>
    </w:p>
    <w:p w:rsidR="008A42CD" w:rsidRDefault="008A75E8">
      <w:pPr>
        <w:spacing w:before="260" w:after="0" w:line="280" w:lineRule="exact"/>
        <w:ind w:left="1703" w:right="1514" w:firstLine="708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“1. Las Administraciones públicas, en el ejercicio de sus competencias,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tomarán las medidas oportunas para la retirada de escudos, insignias, placas y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otros objetos o menciones conmemorativas de exaltación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, personal o colectiva,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de la sublevación militar, de la Guerra Civil y de la represión de la Dictadura.”</w:t>
      </w:r>
    </w:p>
    <w:p w:rsidR="008A42CD" w:rsidRDefault="008A42CD">
      <w:pPr>
        <w:spacing w:after="0" w:line="240" w:lineRule="exact"/>
        <w:rPr>
          <w:sz w:val="12"/>
          <w:szCs w:val="12"/>
        </w:rPr>
        <w:sectPr w:rsidR="008A42CD">
          <w:pgSz w:w="11900" w:h="16820"/>
          <w:pgMar w:top="-20" w:right="0" w:bottom="-20" w:left="0" w:header="0" w:footer="0" w:gutter="0"/>
          <w:cols w:space="720"/>
        </w:sectPr>
      </w:pPr>
    </w:p>
    <w:p w:rsidR="008A42CD" w:rsidRDefault="008A42C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8A42CD" w:rsidRDefault="008A42CD">
      <w:pPr>
        <w:spacing w:after="0" w:line="270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0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0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0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0" w:lineRule="exact"/>
        <w:ind w:left="1703"/>
        <w:rPr>
          <w:sz w:val="24"/>
          <w:szCs w:val="24"/>
        </w:rPr>
      </w:pPr>
    </w:p>
    <w:p w:rsidR="008A42CD" w:rsidRDefault="008A75E8">
      <w:pPr>
        <w:tabs>
          <w:tab w:val="left" w:pos="8094"/>
          <w:tab w:val="left" w:pos="9629"/>
        </w:tabs>
        <w:spacing w:before="147" w:after="0" w:line="270" w:lineRule="exact"/>
        <w:ind w:left="1703" w:right="1513" w:firstLine="708"/>
        <w:jc w:val="both"/>
      </w:pPr>
      <w:r>
        <w:rPr>
          <w:rFonts w:ascii="Arial" w:hAnsi="Arial" w:cs="Arial"/>
          <w:color w:val="000000"/>
          <w:w w:val="101"/>
          <w:sz w:val="24"/>
          <w:szCs w:val="24"/>
        </w:rPr>
        <w:t xml:space="preserve">Por  su  parte,  recientemente  se  publicó  la  Ley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14/2018,  de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w w:val="118"/>
          <w:sz w:val="24"/>
          <w:szCs w:val="24"/>
        </w:rPr>
        <w:t xml:space="preserve">8 de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noviembre, de memoria democrática de Aragón que entrará en vigor el 22 de </w:t>
      </w:r>
      <w:r>
        <w:rPr>
          <w:rFonts w:ascii="Arial" w:hAnsi="Arial" w:cs="Arial"/>
          <w:color w:val="000000"/>
          <w:sz w:val="24"/>
          <w:szCs w:val="24"/>
        </w:rPr>
        <w:t>febrero próximo.</w:t>
      </w:r>
    </w:p>
    <w:p w:rsidR="008A42CD" w:rsidRDefault="008A42CD">
      <w:pPr>
        <w:spacing w:after="0" w:line="275" w:lineRule="exact"/>
        <w:ind w:left="1703"/>
        <w:rPr>
          <w:sz w:val="24"/>
          <w:szCs w:val="24"/>
        </w:rPr>
      </w:pPr>
    </w:p>
    <w:p w:rsidR="008A42CD" w:rsidRDefault="008A75E8">
      <w:pPr>
        <w:spacing w:before="11" w:after="0" w:line="275" w:lineRule="exact"/>
        <w:ind w:left="1703" w:right="1516" w:firstLine="73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La norma aragonesa, tal y como reconoce el artículo 1, objeto de la ley, </w:t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es lograr que “los principios y valores que la informan se conviertan en una </w:t>
      </w:r>
      <w:r>
        <w:rPr>
          <w:rFonts w:ascii="Arial" w:hAnsi="Arial" w:cs="Arial"/>
          <w:color w:val="000000"/>
          <w:spacing w:val="-2"/>
          <w:sz w:val="24"/>
          <w:szCs w:val="24"/>
        </w:rPr>
        <w:t>referencia  ét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ica  para  el  conjunto  de  la  sociedad  aragonesa. En  ese  sentido, 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trata de crear las condiciones precisas para que la sociedad aragonesa sea </w:t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consciente de su pasado y, a partir de su conocimiento y asunción, esté en </w:t>
      </w:r>
      <w:r>
        <w:rPr>
          <w:rFonts w:ascii="Arial" w:hAnsi="Arial" w:cs="Arial"/>
          <w:color w:val="000000"/>
          <w:sz w:val="24"/>
          <w:szCs w:val="24"/>
        </w:rPr>
        <w:t>disposición  de  construir  un  fu</w:t>
      </w:r>
      <w:r>
        <w:rPr>
          <w:rFonts w:ascii="Arial" w:hAnsi="Arial" w:cs="Arial"/>
          <w:color w:val="000000"/>
          <w:sz w:val="24"/>
          <w:szCs w:val="24"/>
        </w:rPr>
        <w:t xml:space="preserve">turo  sobre  la  base  del  reconocimiento  de  la diversidad  como  bien  a  preservar,  la  igualdad  de  todas  las  personas  con independencia de su origen, opiniones, conciencia, ideología, identidad étnica y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expresión  o  identidad  de  género,  el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diálogo  permanente  y  el  respeto  a 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derechos humanos como fundamento de la libertad.”</w:t>
      </w:r>
    </w:p>
    <w:p w:rsidR="008A42CD" w:rsidRDefault="008A42CD">
      <w:pPr>
        <w:spacing w:after="0" w:line="273" w:lineRule="exact"/>
        <w:ind w:left="1703"/>
        <w:rPr>
          <w:sz w:val="24"/>
          <w:szCs w:val="24"/>
        </w:rPr>
      </w:pPr>
    </w:p>
    <w:p w:rsidR="008A42CD" w:rsidRDefault="008A75E8">
      <w:pPr>
        <w:spacing w:before="14" w:after="0" w:line="273" w:lineRule="exact"/>
        <w:ind w:left="1703" w:right="1513" w:firstLine="736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Respecto  a  la  regulación  de  los  símbolos  y  actos  contrarios  a  la </w:t>
      </w:r>
      <w:r>
        <w:br/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memoria democrática está recogida en el capítulo VIII del Título II de la Ley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“DE LAS MANIFESTACIONES  DE LA MEMORIA  DEMOCRÁTICA” (art 31 y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siguientes).</w:t>
      </w:r>
    </w:p>
    <w:p w:rsidR="008A42CD" w:rsidRDefault="008A42CD">
      <w:pPr>
        <w:spacing w:after="0" w:line="276" w:lineRule="exact"/>
        <w:ind w:left="2440"/>
        <w:rPr>
          <w:sz w:val="24"/>
          <w:szCs w:val="24"/>
        </w:rPr>
      </w:pPr>
    </w:p>
    <w:p w:rsidR="008A42CD" w:rsidRDefault="008A75E8">
      <w:pPr>
        <w:spacing w:before="9" w:after="0" w:line="276" w:lineRule="exact"/>
        <w:ind w:left="2440"/>
      </w:pPr>
      <w:r>
        <w:rPr>
          <w:rFonts w:ascii="Arial" w:hAnsi="Arial" w:cs="Arial"/>
          <w:color w:val="000000"/>
          <w:sz w:val="24"/>
          <w:szCs w:val="24"/>
        </w:rPr>
        <w:t>El artículo 31 considera contraria a la memoria democrática de Aragón:</w:t>
      </w:r>
    </w:p>
    <w:p w:rsidR="008A42CD" w:rsidRDefault="008A42CD">
      <w:pPr>
        <w:spacing w:after="0" w:line="273" w:lineRule="exact"/>
        <w:ind w:left="1703"/>
        <w:rPr>
          <w:sz w:val="24"/>
          <w:szCs w:val="24"/>
        </w:rPr>
      </w:pPr>
    </w:p>
    <w:p w:rsidR="008A42CD" w:rsidRDefault="008A75E8">
      <w:pPr>
        <w:spacing w:before="14" w:after="0" w:line="273" w:lineRule="exact"/>
        <w:ind w:left="1703" w:right="1518" w:firstLine="736"/>
        <w:jc w:val="both"/>
      </w:pPr>
      <w:r>
        <w:rPr>
          <w:rFonts w:ascii="Arial" w:hAnsi="Arial" w:cs="Arial"/>
          <w:color w:val="000000"/>
          <w:w w:val="105"/>
          <w:sz w:val="24"/>
          <w:szCs w:val="24"/>
        </w:rPr>
        <w:t xml:space="preserve">“la  exhibición  pública  de  elementos  o  menciones  realizados  en </w:t>
      </w:r>
      <w:r>
        <w:rPr>
          <w:rFonts w:ascii="Arial" w:hAnsi="Arial" w:cs="Arial"/>
          <w:color w:val="000000"/>
          <w:spacing w:val="1"/>
          <w:sz w:val="24"/>
          <w:szCs w:val="24"/>
        </w:rPr>
        <w:t>conmemoración, exaltación o enalteci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miento individual o colectivo del golpe de 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Estado de 1936 y del franquismo, de sus dirigentes o de las organizaciones </w:t>
      </w:r>
      <w:r>
        <w:rPr>
          <w:rFonts w:ascii="Arial" w:hAnsi="Arial" w:cs="Arial"/>
          <w:color w:val="000000"/>
          <w:sz w:val="24"/>
          <w:szCs w:val="24"/>
        </w:rPr>
        <w:t>que sustentaron al régimen dictatorial, tales como:</w:t>
      </w:r>
    </w:p>
    <w:p w:rsidR="008A42CD" w:rsidRDefault="008A42CD">
      <w:pPr>
        <w:spacing w:after="0" w:line="280" w:lineRule="exact"/>
        <w:ind w:left="2411"/>
        <w:rPr>
          <w:sz w:val="24"/>
          <w:szCs w:val="24"/>
        </w:rPr>
      </w:pPr>
    </w:p>
    <w:p w:rsidR="008A42CD" w:rsidRDefault="008A75E8">
      <w:pPr>
        <w:spacing w:before="2" w:after="0" w:line="280" w:lineRule="exact"/>
        <w:ind w:left="2411" w:right="1513"/>
        <w:jc w:val="both"/>
      </w:pPr>
      <w:r>
        <w:rPr>
          <w:rFonts w:ascii="Arial" w:hAnsi="Arial" w:cs="Arial"/>
          <w:color w:val="000000"/>
          <w:w w:val="105"/>
          <w:sz w:val="24"/>
          <w:szCs w:val="24"/>
        </w:rPr>
        <w:t xml:space="preserve">a)  Placas,  escudos,  insignias,  inscripciones,  anagramas  y  otros </w:t>
      </w:r>
      <w:r>
        <w:rPr>
          <w:rFonts w:ascii="Arial" w:hAnsi="Arial" w:cs="Arial"/>
          <w:color w:val="000000"/>
          <w:sz w:val="24"/>
          <w:szCs w:val="24"/>
        </w:rPr>
        <w:t>elementos sobre edificios públicos o situados en la vía pública.</w:t>
      </w:r>
    </w:p>
    <w:p w:rsidR="008A42CD" w:rsidRDefault="008A75E8">
      <w:pPr>
        <w:spacing w:before="280" w:after="0" w:line="280" w:lineRule="exact"/>
        <w:ind w:left="2411" w:right="1517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b)  Alusiones  que  desmerezcan  a  la  legalidad  republicana  y  a  sus </w:t>
      </w:r>
      <w:r>
        <w:rPr>
          <w:rFonts w:ascii="Arial" w:hAnsi="Arial" w:cs="Arial"/>
          <w:color w:val="000000"/>
          <w:sz w:val="24"/>
          <w:szCs w:val="24"/>
        </w:rPr>
        <w:t>defensores.</w:t>
      </w:r>
    </w:p>
    <w:p w:rsidR="008A42CD" w:rsidRDefault="008A75E8">
      <w:pPr>
        <w:spacing w:before="260" w:after="0" w:line="280" w:lineRule="exact"/>
        <w:ind w:left="2411" w:right="1518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c)  Alusiones  a  los  participantes,  instigadores  o  legitimadores  de  la </w:t>
      </w:r>
      <w:r>
        <w:rPr>
          <w:rFonts w:ascii="Arial" w:hAnsi="Arial" w:cs="Arial"/>
          <w:color w:val="000000"/>
          <w:sz w:val="24"/>
          <w:szCs w:val="24"/>
        </w:rPr>
        <w:t>sublevación militar de 1936 y de la dictadura franquista.</w:t>
      </w:r>
    </w:p>
    <w:p w:rsidR="008A42CD" w:rsidRDefault="008A75E8">
      <w:pPr>
        <w:spacing w:before="280" w:after="0" w:line="280" w:lineRule="exact"/>
        <w:ind w:left="2411" w:right="1515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d)  Denominaciones  de  calles,  vías  o  lugares  públicos  que  rindan 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homenaje a militares o políticos afectos al golpe de estado o al régimen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franquista.”</w:t>
      </w:r>
    </w:p>
    <w:p w:rsidR="008A42CD" w:rsidRDefault="008A75E8">
      <w:pPr>
        <w:spacing w:before="264" w:after="0" w:line="276" w:lineRule="exact"/>
        <w:ind w:left="1703" w:right="1519" w:firstLine="73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El artículo 31.3 de la Ley prevé que 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“las administraciones públicas de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Aragón,  en  el  ejercicio  de  sus  competencias  y  de  conformidad  con  lo </w:t>
      </w:r>
      <w:r>
        <w:br/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establecido  en  el  apartado  primero,  adoptarán  las  medidas  necesarias  para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proceder a la retirada o eliminación de los elementos con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trarios a la memoria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democrática de Aragón, sin perjuicio de las actuaciones que las víctimas, sus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familiares o las entidades memorialistas puedan llevar a cabo en defensa de su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derecho al honor y la dignidad.”</w:t>
      </w:r>
    </w:p>
    <w:p w:rsidR="008A42CD" w:rsidRDefault="008A42CD">
      <w:pPr>
        <w:spacing w:after="0" w:line="240" w:lineRule="exact"/>
        <w:rPr>
          <w:sz w:val="12"/>
          <w:szCs w:val="12"/>
        </w:rPr>
        <w:sectPr w:rsidR="008A42CD">
          <w:pgSz w:w="11900" w:h="16820"/>
          <w:pgMar w:top="-20" w:right="0" w:bottom="-20" w:left="0" w:header="0" w:footer="0" w:gutter="0"/>
          <w:cols w:space="720"/>
        </w:sectPr>
      </w:pPr>
    </w:p>
    <w:p w:rsidR="008A42CD" w:rsidRDefault="008A42C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8A42CD" w:rsidRDefault="008A42CD">
      <w:pPr>
        <w:spacing w:after="0" w:line="275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5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5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5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5" w:lineRule="exact"/>
        <w:ind w:left="1703"/>
        <w:rPr>
          <w:sz w:val="24"/>
          <w:szCs w:val="24"/>
        </w:rPr>
      </w:pPr>
    </w:p>
    <w:p w:rsidR="008A42CD" w:rsidRDefault="008A75E8">
      <w:pPr>
        <w:spacing w:before="118" w:after="0" w:line="275" w:lineRule="exact"/>
        <w:ind w:left="1703" w:right="1516" w:firstLine="5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Es una norma de obligado cumplimiento que incluso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preve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en la disposición 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adicional  4ª   que  en  caso  de  no  retirarse  o  eliminarse  estos  elementos,  el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departamento  competente  en  materia  de  memoria  democrática  incoará  de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oficio el procedimiento previsto en el citado artículo para la retirada de dichos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elementos.</w:t>
      </w:r>
    </w:p>
    <w:p w:rsidR="008A42CD" w:rsidRDefault="008A42CD">
      <w:pPr>
        <w:spacing w:after="0" w:line="270" w:lineRule="exact"/>
        <w:ind w:left="1703"/>
        <w:rPr>
          <w:sz w:val="24"/>
          <w:szCs w:val="24"/>
        </w:rPr>
      </w:pPr>
    </w:p>
    <w:p w:rsidR="008A42CD" w:rsidRDefault="008A75E8">
      <w:pPr>
        <w:spacing w:before="20" w:after="0" w:line="270" w:lineRule="exact"/>
        <w:ind w:left="1703" w:right="1516"/>
        <w:jc w:val="both"/>
      </w:pPr>
      <w:r>
        <w:rPr>
          <w:rFonts w:ascii="Arial" w:hAnsi="Arial" w:cs="Arial"/>
          <w:color w:val="000000"/>
          <w:w w:val="103"/>
          <w:sz w:val="24"/>
          <w:szCs w:val="24"/>
        </w:rPr>
        <w:t xml:space="preserve">Por su parte el artículo 33 prevé incluso la sanción de pérdida del derecho a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obtener  subvenciones  a  quienes  incumplan  la  obligación  de  eliminar  los 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lementos contrarios a la memoria democrática y, en este sentido, el apartado</w:t>
      </w:r>
    </w:p>
    <w:p w:rsidR="008A42CD" w:rsidRDefault="008A75E8">
      <w:pPr>
        <w:spacing w:before="6" w:after="0" w:line="275" w:lineRule="exact"/>
        <w:ind w:left="1703" w:right="1514"/>
        <w:jc w:val="both"/>
      </w:pPr>
      <w:r>
        <w:rPr>
          <w:rFonts w:ascii="Arial" w:hAnsi="Arial" w:cs="Arial"/>
          <w:color w:val="000000"/>
          <w:w w:val="103"/>
          <w:sz w:val="24"/>
          <w:szCs w:val="24"/>
        </w:rPr>
        <w:t xml:space="preserve">4 del artículo 33 dispone que “con carácter general, las entidades locales de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Aragón  que  no  eliminen  de  sus  edificios  y  espacios  públicos  símbolos </w:t>
      </w:r>
      <w:r>
        <w:br/>
      </w:r>
      <w:r>
        <w:rPr>
          <w:rFonts w:ascii="Arial" w:hAnsi="Arial" w:cs="Arial"/>
          <w:color w:val="000000"/>
          <w:w w:val="107"/>
          <w:sz w:val="24"/>
          <w:szCs w:val="24"/>
        </w:rPr>
        <w:t>contrarios  a  la  m</w:t>
      </w:r>
      <w:r>
        <w:rPr>
          <w:rFonts w:ascii="Arial" w:hAnsi="Arial" w:cs="Arial"/>
          <w:color w:val="000000"/>
          <w:w w:val="107"/>
          <w:sz w:val="24"/>
          <w:szCs w:val="24"/>
        </w:rPr>
        <w:t xml:space="preserve">emoria  democrática  de  Aragón  o  que  obstruyan  el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cumplimiento de  lo que esta  ley  establece  con  respecto  al reconocimiento  y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reparación de las víctimas mediante su exhumación o el acceso a documentos </w:t>
      </w:r>
      <w:r>
        <w:br/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de memoria democrática podrán ser objeto 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de sanción mediante la exclusión </w:t>
      </w:r>
      <w:r>
        <w:br/>
      </w:r>
      <w:r>
        <w:rPr>
          <w:rFonts w:ascii="Arial" w:hAnsi="Arial" w:cs="Arial"/>
          <w:color w:val="000000"/>
          <w:w w:val="106"/>
          <w:sz w:val="24"/>
          <w:szCs w:val="24"/>
        </w:rPr>
        <w:t xml:space="preserve">de  procesos  de  concesión  de  subvenciones  y  ayudas  públicas  de  la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Administración de la Comunidad Autónoma de Aragón, según se estipula en el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título IV.”</w:t>
      </w:r>
    </w:p>
    <w:p w:rsidR="008A42CD" w:rsidRDefault="008A42CD">
      <w:pPr>
        <w:spacing w:after="0" w:line="280" w:lineRule="exact"/>
        <w:ind w:left="1703"/>
        <w:rPr>
          <w:sz w:val="24"/>
          <w:szCs w:val="24"/>
        </w:rPr>
      </w:pPr>
    </w:p>
    <w:p w:rsidR="008A42CD" w:rsidRDefault="008A75E8">
      <w:pPr>
        <w:spacing w:before="1" w:after="0" w:line="280" w:lineRule="exact"/>
        <w:ind w:left="1703" w:right="1523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>En definitiva, tanto  la ley estatal como  la  autonómica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contienen un mandato 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ineludible y a la administración no le corresponde ponderar su aplicación sin </w:t>
      </w:r>
      <w:r>
        <w:rPr>
          <w:rFonts w:ascii="Arial" w:hAnsi="Arial" w:cs="Arial"/>
          <w:color w:val="000000"/>
          <w:sz w:val="24"/>
          <w:szCs w:val="24"/>
        </w:rPr>
        <w:t>cumplirla mediante la retirada de tales elementos.</w:t>
      </w:r>
    </w:p>
    <w:p w:rsidR="008A42CD" w:rsidRDefault="008A42CD">
      <w:pPr>
        <w:spacing w:after="0" w:line="273" w:lineRule="exact"/>
        <w:ind w:left="1703"/>
        <w:rPr>
          <w:sz w:val="24"/>
          <w:szCs w:val="24"/>
        </w:rPr>
      </w:pPr>
    </w:p>
    <w:p w:rsidR="008A42CD" w:rsidRDefault="008A75E8">
      <w:pPr>
        <w:spacing w:before="13" w:after="0" w:line="273" w:lineRule="exact"/>
        <w:ind w:left="1703" w:right="1514"/>
        <w:jc w:val="both"/>
      </w:pPr>
      <w:r>
        <w:rPr>
          <w:rFonts w:ascii="Arial Bold" w:hAnsi="Arial Bold" w:cs="Arial Bold"/>
          <w:color w:val="000000"/>
          <w:w w:val="104"/>
          <w:sz w:val="24"/>
          <w:szCs w:val="24"/>
        </w:rPr>
        <w:t xml:space="preserve">SEGUNDA:  </w:t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Sin embargo, existen, al menos y sin perjuicio de otras que se 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pudieran  detectar  adicionales,  las  siguientes  calles  y  espacios  públicos  que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mantienen  denominaciones que  es  preciso cambiar conforme a la  normativa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legal:</w:t>
      </w:r>
    </w:p>
    <w:p w:rsidR="008A42CD" w:rsidRDefault="008A75E8">
      <w:pPr>
        <w:spacing w:before="125" w:after="0" w:line="276" w:lineRule="exact"/>
        <w:ind w:left="1770"/>
      </w:pPr>
      <w:r>
        <w:rPr>
          <w:rFonts w:ascii="Arial Bold" w:hAnsi="Arial Bold" w:cs="Arial Bold"/>
          <w:color w:val="000000"/>
          <w:sz w:val="24"/>
          <w:szCs w:val="24"/>
        </w:rPr>
        <w:t>Citar cada una de ellas poniendo el motivo por el que se pide retirar:</w:t>
      </w:r>
    </w:p>
    <w:p w:rsidR="008A42CD" w:rsidRDefault="008A75E8">
      <w:pPr>
        <w:spacing w:before="261" w:after="0" w:line="280" w:lineRule="exact"/>
        <w:ind w:left="1703" w:right="1510"/>
        <w:jc w:val="both"/>
      </w:pPr>
      <w:r>
        <w:rPr>
          <w:rFonts w:ascii="Arial Bold" w:hAnsi="Arial Bold" w:cs="Arial Bold"/>
          <w:color w:val="000000"/>
          <w:spacing w:val="-1"/>
          <w:sz w:val="24"/>
          <w:szCs w:val="24"/>
        </w:rPr>
        <w:t xml:space="preserve">Ejemplo:  Calle  José  Antonio  Primo  de  Rivera: 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Fundador  de  la  Falange, 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>colaborador de la sublevación militar y convertido en icono por el franquismo</w:t>
      </w:r>
    </w:p>
    <w:p w:rsidR="008A42CD" w:rsidRDefault="008A42CD">
      <w:pPr>
        <w:spacing w:after="0" w:line="240" w:lineRule="exact"/>
        <w:rPr>
          <w:sz w:val="12"/>
          <w:szCs w:val="12"/>
        </w:rPr>
        <w:sectPr w:rsidR="008A42CD">
          <w:pgSz w:w="11900" w:h="16820"/>
          <w:pgMar w:top="-20" w:right="0" w:bottom="-20" w:left="0" w:header="0" w:footer="0" w:gutter="0"/>
          <w:cols w:space="720"/>
        </w:sectPr>
      </w:pPr>
    </w:p>
    <w:p w:rsidR="008A42CD" w:rsidRDefault="008A42C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75E8">
      <w:pPr>
        <w:spacing w:before="112" w:after="0" w:line="276" w:lineRule="exact"/>
        <w:ind w:left="1703"/>
      </w:pPr>
      <w:r>
        <w:rPr>
          <w:rFonts w:ascii="Arial" w:hAnsi="Arial" w:cs="Arial"/>
          <w:color w:val="000000"/>
          <w:sz w:val="24"/>
          <w:szCs w:val="24"/>
        </w:rPr>
        <w:t>Por lo expuesto,</w:t>
      </w:r>
    </w:p>
    <w:p w:rsidR="008A42CD" w:rsidRDefault="008A75E8">
      <w:pPr>
        <w:spacing w:before="261" w:after="0" w:line="280" w:lineRule="exact"/>
        <w:ind w:left="1703" w:right="1502"/>
        <w:jc w:val="both"/>
      </w:pPr>
      <w:r>
        <w:rPr>
          <w:rFonts w:ascii="Arial Bold" w:hAnsi="Arial Bold" w:cs="Arial Bold"/>
          <w:color w:val="000000"/>
          <w:spacing w:val="3"/>
          <w:sz w:val="24"/>
          <w:szCs w:val="24"/>
        </w:rPr>
        <w:t>SOLICITA  DEL  AYUNTAMIENTO  DE…………………………………….: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Que </w:t>
      </w:r>
      <w:r>
        <w:rPr>
          <w:rFonts w:ascii="Arial" w:hAnsi="Arial" w:cs="Arial"/>
          <w:color w:val="000000"/>
          <w:sz w:val="24"/>
          <w:szCs w:val="24"/>
        </w:rPr>
        <w:t>tenga por presentado este escrito y realizadas las anteriores consideraciones y, en virtud de las mismas acuerde:</w:t>
      </w:r>
    </w:p>
    <w:p w:rsidR="008A42CD" w:rsidRDefault="008A75E8">
      <w:pPr>
        <w:spacing w:before="260" w:after="0" w:line="280" w:lineRule="exact"/>
        <w:ind w:left="1703" w:right="1515"/>
        <w:jc w:val="both"/>
      </w:pP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1º.- 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Retirar del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nomenclator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de la ciudad las denominaciones que se detallan </w:t>
      </w:r>
      <w:r>
        <w:rPr>
          <w:rFonts w:ascii="Arial" w:hAnsi="Arial" w:cs="Arial"/>
          <w:color w:val="000000"/>
          <w:sz w:val="24"/>
          <w:szCs w:val="24"/>
        </w:rPr>
        <w:t>así como la retirada de los símbolos citados en el cuerpo de est</w:t>
      </w:r>
      <w:r>
        <w:rPr>
          <w:rFonts w:ascii="Arial" w:hAnsi="Arial" w:cs="Arial"/>
          <w:color w:val="000000"/>
          <w:sz w:val="24"/>
          <w:szCs w:val="24"/>
        </w:rPr>
        <w:t>e escrito.</w:t>
      </w:r>
    </w:p>
    <w:p w:rsidR="008A42CD" w:rsidRDefault="008A75E8">
      <w:pPr>
        <w:tabs>
          <w:tab w:val="left" w:pos="8261"/>
        </w:tabs>
        <w:spacing w:before="280" w:after="0" w:line="280" w:lineRule="exact"/>
        <w:ind w:left="1703" w:right="1519"/>
        <w:jc w:val="both"/>
      </w:pPr>
      <w:r>
        <w:rPr>
          <w:rFonts w:ascii="Arial Bold" w:hAnsi="Arial Bold" w:cs="Arial Bold"/>
          <w:color w:val="000000"/>
          <w:w w:val="102"/>
          <w:sz w:val="24"/>
          <w:szCs w:val="24"/>
        </w:rPr>
        <w:t>2º.-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  Inste  los  oportunos  expedientes  administrativos,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en  sus  variadas </w:t>
      </w:r>
      <w:r>
        <w:rPr>
          <w:rFonts w:ascii="Arial" w:hAnsi="Arial" w:cs="Arial"/>
          <w:color w:val="000000"/>
          <w:sz w:val="24"/>
          <w:szCs w:val="24"/>
        </w:rPr>
        <w:t>vertientes, para llevar a efecto lo anterior.</w:t>
      </w: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75E8">
      <w:pPr>
        <w:spacing w:before="268" w:after="0" w:line="276" w:lineRule="exact"/>
        <w:ind w:left="1703"/>
      </w:pPr>
      <w:r>
        <w:rPr>
          <w:rFonts w:ascii="Arial" w:hAnsi="Arial" w:cs="Arial"/>
          <w:color w:val="000000"/>
          <w:sz w:val="24"/>
          <w:szCs w:val="24"/>
        </w:rPr>
        <w:t>En ………………………………………, a…… de…………………….. de……….</w:t>
      </w:r>
    </w:p>
    <w:p w:rsidR="008A42CD" w:rsidRDefault="008A42CD">
      <w:pPr>
        <w:spacing w:after="0" w:line="560" w:lineRule="exact"/>
        <w:ind w:left="2767"/>
        <w:rPr>
          <w:sz w:val="24"/>
          <w:szCs w:val="24"/>
        </w:rPr>
      </w:pPr>
    </w:p>
    <w:p w:rsidR="008A42CD" w:rsidRDefault="008A42CD">
      <w:pPr>
        <w:spacing w:after="0" w:line="560" w:lineRule="exact"/>
        <w:ind w:left="2767"/>
        <w:rPr>
          <w:sz w:val="24"/>
          <w:szCs w:val="24"/>
        </w:rPr>
      </w:pPr>
    </w:p>
    <w:p w:rsidR="008A42CD" w:rsidRDefault="008A42CD">
      <w:pPr>
        <w:spacing w:after="0" w:line="560" w:lineRule="exact"/>
        <w:ind w:left="2767"/>
        <w:rPr>
          <w:sz w:val="24"/>
          <w:szCs w:val="24"/>
        </w:rPr>
      </w:pPr>
    </w:p>
    <w:p w:rsidR="008A42CD" w:rsidRDefault="008A75E8">
      <w:pPr>
        <w:tabs>
          <w:tab w:val="left" w:pos="5435"/>
        </w:tabs>
        <w:spacing w:before="290" w:after="0" w:line="560" w:lineRule="exact"/>
        <w:ind w:left="2767" w:right="2568"/>
      </w:pPr>
      <w:r>
        <w:rPr>
          <w:rFonts w:ascii="Arial" w:hAnsi="Arial" w:cs="Arial"/>
          <w:color w:val="000000"/>
          <w:sz w:val="24"/>
          <w:szCs w:val="24"/>
        </w:rPr>
        <w:t xml:space="preserve">Fdo. ……………………………………………………………….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DNI……………………………</w:t>
      </w:r>
    </w:p>
    <w:p w:rsidR="008A42CD" w:rsidRDefault="008A42CD">
      <w:pPr>
        <w:spacing w:after="0" w:line="276" w:lineRule="exact"/>
        <w:ind w:left="1703"/>
        <w:rPr>
          <w:sz w:val="24"/>
          <w:szCs w:val="24"/>
        </w:rPr>
      </w:pPr>
    </w:p>
    <w:p w:rsidR="008A42CD" w:rsidRDefault="008A75E8">
      <w:pPr>
        <w:spacing w:before="219" w:after="0" w:line="276" w:lineRule="exact"/>
        <w:ind w:left="1703"/>
      </w:pPr>
      <w:r>
        <w:rPr>
          <w:rFonts w:ascii="Arial Bold" w:hAnsi="Arial Bold" w:cs="Arial Bold"/>
          <w:color w:val="000000"/>
          <w:sz w:val="24"/>
          <w:szCs w:val="24"/>
        </w:rPr>
        <w:t>Alcalde- Presidente del Ayuntamiento de ……………………………………</w:t>
      </w:r>
    </w:p>
    <w:sectPr w:rsidR="008A42CD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8202E3"/>
    <w:rsid w:val="008A42CD"/>
    <w:rsid w:val="008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EB4F8-23DF-634B-8D53-1383779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6394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2020-11-19T10:38:00Z</dcterms:created>
  <dcterms:modified xsi:type="dcterms:W3CDTF">2020-11-19T10:38:00Z</dcterms:modified>
</cp:coreProperties>
</file>